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A83" w:rsidRDefault="00044A83" w:rsidP="008725E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044A83" w:rsidRDefault="00044A83" w:rsidP="008725E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044A83" w:rsidRDefault="00044A83" w:rsidP="008725E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044A83" w:rsidRDefault="00044A83" w:rsidP="008725E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044A83" w:rsidRDefault="00044A83" w:rsidP="008725E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044A83" w:rsidRPr="00E1609B" w:rsidRDefault="00044A83" w:rsidP="00B20E59">
      <w:pPr>
        <w:rPr>
          <w:color w:val="000000"/>
        </w:rPr>
      </w:pPr>
      <w:bookmarkStart w:id="0" w:name="_GoBack"/>
    </w:p>
    <w:p w:rsidR="00044A83" w:rsidRDefault="00044A83" w:rsidP="00B20E59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044A83" w:rsidRDefault="00044A83" w:rsidP="00B20E59">
      <w:pPr>
        <w:rPr>
          <w:b/>
          <w:color w:val="000000"/>
          <w:sz w:val="24"/>
          <w:szCs w:val="24"/>
        </w:rPr>
      </w:pPr>
    </w:p>
    <w:p w:rsidR="00044A83" w:rsidRPr="00E1609B" w:rsidRDefault="00044A83" w:rsidP="008725E2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044A83" w:rsidRPr="00E1609B" w:rsidRDefault="00044A83" w:rsidP="008725E2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044A83" w:rsidRPr="00615E6B" w:rsidRDefault="00044A83" w:rsidP="008725E2">
      <w:pPr>
        <w:jc w:val="center"/>
        <w:rPr>
          <w:sz w:val="22"/>
          <w:szCs w:val="22"/>
        </w:rPr>
      </w:pPr>
    </w:p>
    <w:p w:rsidR="00044A83" w:rsidRPr="00D05B1B" w:rsidRDefault="00044A83" w:rsidP="008725E2">
      <w:pPr>
        <w:rPr>
          <w:b/>
          <w:sz w:val="22"/>
          <w:szCs w:val="22"/>
        </w:rPr>
      </w:pPr>
      <w:r w:rsidRPr="00D05B1B">
        <w:rPr>
          <w:rStyle w:val="a"/>
          <w:sz w:val="22"/>
          <w:szCs w:val="22"/>
        </w:rPr>
        <w:t>Раздел 9.</w:t>
      </w:r>
      <w:r w:rsidRPr="00D05B1B">
        <w:rPr>
          <w:b/>
          <w:bCs/>
          <w:spacing w:val="-1"/>
          <w:sz w:val="22"/>
          <w:szCs w:val="22"/>
        </w:rPr>
        <w:t xml:space="preserve"> </w:t>
      </w:r>
      <w:r w:rsidRPr="00D05B1B">
        <w:rPr>
          <w:rStyle w:val="a"/>
          <w:sz w:val="22"/>
          <w:szCs w:val="22"/>
        </w:rPr>
        <w:t xml:space="preserve">Диффузные </w:t>
      </w:r>
      <w:r w:rsidRPr="00D05B1B">
        <w:rPr>
          <w:b/>
          <w:sz w:val="22"/>
          <w:szCs w:val="22"/>
        </w:rPr>
        <w:t>заболевания соединительной ткани</w:t>
      </w:r>
      <w:r>
        <w:rPr>
          <w:b/>
          <w:sz w:val="22"/>
          <w:szCs w:val="22"/>
        </w:rPr>
        <w:t>.</w:t>
      </w:r>
    </w:p>
    <w:p w:rsidR="00044A83" w:rsidRDefault="00044A83" w:rsidP="008725E2">
      <w:pPr>
        <w:rPr>
          <w:b/>
          <w:bCs/>
          <w:sz w:val="22"/>
          <w:szCs w:val="22"/>
        </w:rPr>
      </w:pPr>
      <w:r w:rsidRPr="00D05B1B">
        <w:rPr>
          <w:rStyle w:val="a"/>
          <w:sz w:val="22"/>
          <w:szCs w:val="22"/>
        </w:rPr>
        <w:t>Тема 9</w:t>
      </w:r>
      <w:r w:rsidRPr="00D05B1B">
        <w:rPr>
          <w:b/>
          <w:bCs/>
          <w:spacing w:val="-1"/>
          <w:sz w:val="22"/>
          <w:szCs w:val="22"/>
        </w:rPr>
        <w:t>.</w:t>
      </w:r>
      <w:r w:rsidRPr="00D05B1B">
        <w:rPr>
          <w:b/>
          <w:bCs/>
          <w:sz w:val="22"/>
          <w:szCs w:val="22"/>
        </w:rPr>
        <w:t xml:space="preserve"> Антифосфолипидный синдром.</w:t>
      </w:r>
    </w:p>
    <w:p w:rsidR="00044A83" w:rsidRPr="00D05B1B" w:rsidRDefault="00044A83" w:rsidP="008725E2">
      <w:pPr>
        <w:rPr>
          <w:sz w:val="22"/>
          <w:szCs w:val="22"/>
        </w:rPr>
      </w:pPr>
    </w:p>
    <w:p w:rsidR="00044A83" w:rsidRPr="00D05B1B" w:rsidRDefault="00044A83" w:rsidP="008725E2">
      <w:pPr>
        <w:jc w:val="both"/>
        <w:rPr>
          <w:b/>
          <w:sz w:val="22"/>
          <w:szCs w:val="22"/>
        </w:rPr>
      </w:pPr>
      <w:r w:rsidRPr="00D05B1B">
        <w:rPr>
          <w:b/>
          <w:sz w:val="22"/>
          <w:szCs w:val="22"/>
        </w:rPr>
        <w:t>Индекс дисциплины: Б1.Б.1</w:t>
      </w:r>
    </w:p>
    <w:p w:rsidR="00044A83" w:rsidRPr="00D05B1B" w:rsidRDefault="00044A83" w:rsidP="008725E2">
      <w:pPr>
        <w:jc w:val="both"/>
        <w:rPr>
          <w:sz w:val="22"/>
          <w:szCs w:val="22"/>
        </w:rPr>
      </w:pPr>
      <w:r w:rsidRPr="00D05B1B">
        <w:rPr>
          <w:b/>
          <w:sz w:val="22"/>
          <w:szCs w:val="22"/>
        </w:rPr>
        <w:t xml:space="preserve">Наименование: </w:t>
      </w:r>
      <w:r w:rsidRPr="00D05B1B">
        <w:rPr>
          <w:sz w:val="22"/>
          <w:szCs w:val="22"/>
        </w:rPr>
        <w:t xml:space="preserve">ординатура по специальности 31.08.46 «Ревматология» </w:t>
      </w:r>
    </w:p>
    <w:p w:rsidR="00044A83" w:rsidRPr="00D05B1B" w:rsidRDefault="00044A83" w:rsidP="008725E2">
      <w:pPr>
        <w:jc w:val="both"/>
        <w:rPr>
          <w:color w:val="000000"/>
          <w:sz w:val="22"/>
          <w:szCs w:val="22"/>
        </w:rPr>
      </w:pPr>
      <w:r w:rsidRPr="00D05B1B">
        <w:rPr>
          <w:b/>
          <w:sz w:val="22"/>
          <w:szCs w:val="22"/>
        </w:rPr>
        <w:t xml:space="preserve">Контингент обучающихся: </w:t>
      </w:r>
      <w:r w:rsidRPr="00D05B1B">
        <w:rPr>
          <w:color w:val="000000"/>
          <w:sz w:val="22"/>
          <w:szCs w:val="22"/>
        </w:rPr>
        <w:t>ординаторы специальности «Ревматология»</w:t>
      </w:r>
    </w:p>
    <w:p w:rsidR="00044A83" w:rsidRPr="00D05B1B" w:rsidRDefault="00044A83" w:rsidP="008725E2">
      <w:pPr>
        <w:jc w:val="both"/>
        <w:rPr>
          <w:rStyle w:val="a"/>
          <w:b w:val="0"/>
          <w:sz w:val="22"/>
          <w:szCs w:val="22"/>
        </w:rPr>
      </w:pPr>
      <w:r w:rsidRPr="00D05B1B">
        <w:rPr>
          <w:b/>
          <w:sz w:val="22"/>
          <w:szCs w:val="22"/>
        </w:rPr>
        <w:t xml:space="preserve">Продолжительность лекции: </w:t>
      </w:r>
      <w:r w:rsidRPr="00D05B1B">
        <w:rPr>
          <w:sz w:val="22"/>
          <w:szCs w:val="22"/>
        </w:rPr>
        <w:t>2 часа.</w:t>
      </w:r>
    </w:p>
    <w:p w:rsidR="00044A83" w:rsidRPr="00D05B1B" w:rsidRDefault="00044A83" w:rsidP="008725E2">
      <w:pPr>
        <w:jc w:val="both"/>
        <w:rPr>
          <w:sz w:val="22"/>
          <w:szCs w:val="22"/>
        </w:rPr>
      </w:pPr>
      <w:r w:rsidRPr="00D05B1B">
        <w:rPr>
          <w:rStyle w:val="a"/>
          <w:sz w:val="22"/>
          <w:szCs w:val="22"/>
        </w:rPr>
        <w:t>Цель лекции:</w:t>
      </w:r>
      <w:r w:rsidRPr="00D05B1B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044A83" w:rsidRPr="00D05B1B" w:rsidRDefault="00044A83" w:rsidP="008725E2">
      <w:pPr>
        <w:jc w:val="both"/>
        <w:rPr>
          <w:bCs/>
          <w:sz w:val="22"/>
          <w:szCs w:val="22"/>
        </w:rPr>
      </w:pPr>
      <w:r w:rsidRPr="00D05B1B">
        <w:rPr>
          <w:b/>
          <w:sz w:val="22"/>
          <w:szCs w:val="22"/>
        </w:rPr>
        <w:t xml:space="preserve">Задачи: </w:t>
      </w:r>
      <w:r w:rsidRPr="00D05B1B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044A83" w:rsidRPr="00D05B1B" w:rsidRDefault="00044A83" w:rsidP="008725E2">
      <w:pPr>
        <w:jc w:val="both"/>
        <w:rPr>
          <w:bCs/>
          <w:sz w:val="22"/>
          <w:szCs w:val="22"/>
        </w:rPr>
      </w:pPr>
      <w:r w:rsidRPr="00D05B1B">
        <w:rPr>
          <w:b/>
          <w:sz w:val="22"/>
          <w:szCs w:val="22"/>
        </w:rPr>
        <w:t>Формируемые компетенции:</w:t>
      </w:r>
      <w:r w:rsidRPr="00D05B1B">
        <w:rPr>
          <w:rStyle w:val="a"/>
          <w:b w:val="0"/>
          <w:sz w:val="22"/>
          <w:szCs w:val="22"/>
        </w:rPr>
        <w:t xml:space="preserve"> ПК-1, ПК-2, ПК-5, ПК-6, ПК-8</w:t>
      </w:r>
      <w:r w:rsidRPr="00D05B1B">
        <w:rPr>
          <w:b/>
          <w:sz w:val="22"/>
          <w:szCs w:val="22"/>
        </w:rPr>
        <w:t xml:space="preserve"> </w:t>
      </w:r>
    </w:p>
    <w:p w:rsidR="00044A83" w:rsidRPr="00D05B1B" w:rsidRDefault="00044A83" w:rsidP="008725E2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044A83" w:rsidRPr="00D05B1B" w:rsidRDefault="00044A83" w:rsidP="008725E2">
      <w:pPr>
        <w:tabs>
          <w:tab w:val="left" w:pos="3735"/>
        </w:tabs>
        <w:jc w:val="both"/>
        <w:rPr>
          <w:b/>
          <w:sz w:val="22"/>
          <w:szCs w:val="22"/>
        </w:rPr>
      </w:pPr>
      <w:r w:rsidRPr="00D05B1B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044A83" w:rsidRPr="00D05B1B" w:rsidTr="008725E2">
        <w:trPr>
          <w:cantSplit/>
          <w:jc w:val="center"/>
        </w:trPr>
        <w:tc>
          <w:tcPr>
            <w:tcW w:w="3549" w:type="pct"/>
          </w:tcPr>
          <w:p w:rsidR="00044A83" w:rsidRPr="00D05B1B" w:rsidRDefault="00044A83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D05B1B">
                <w:rPr>
                  <w:sz w:val="22"/>
                  <w:szCs w:val="22"/>
                  <w:lang w:val="en-US"/>
                </w:rPr>
                <w:t>I</w:t>
              </w:r>
              <w:r w:rsidRPr="00D05B1B">
                <w:rPr>
                  <w:sz w:val="22"/>
                  <w:szCs w:val="22"/>
                </w:rPr>
                <w:t>.</w:t>
              </w:r>
            </w:smartTag>
            <w:r w:rsidRPr="00D05B1B">
              <w:rPr>
                <w:sz w:val="22"/>
                <w:szCs w:val="22"/>
              </w:rPr>
              <w:t xml:space="preserve"> Классификация антифосфолипидного синдрома</w:t>
            </w:r>
          </w:p>
        </w:tc>
      </w:tr>
      <w:tr w:rsidR="00044A83" w:rsidRPr="00D05B1B" w:rsidTr="008725E2">
        <w:trPr>
          <w:cantSplit/>
          <w:jc w:val="center"/>
        </w:trPr>
        <w:tc>
          <w:tcPr>
            <w:tcW w:w="3549" w:type="pct"/>
          </w:tcPr>
          <w:p w:rsidR="00044A83" w:rsidRPr="00D05B1B" w:rsidRDefault="00044A83" w:rsidP="006F2BFB">
            <w:pPr>
              <w:rPr>
                <w:sz w:val="22"/>
                <w:szCs w:val="22"/>
              </w:rPr>
            </w:pPr>
            <w:r w:rsidRPr="00D05B1B">
              <w:rPr>
                <w:sz w:val="22"/>
                <w:szCs w:val="22"/>
                <w:lang w:val="en-US"/>
              </w:rPr>
              <w:t>II</w:t>
            </w:r>
            <w:r w:rsidRPr="00D05B1B">
              <w:rPr>
                <w:sz w:val="22"/>
                <w:szCs w:val="22"/>
              </w:rPr>
              <w:t>. Этиология, эпидемиология антифосфолипидного синдрома</w:t>
            </w:r>
          </w:p>
        </w:tc>
      </w:tr>
      <w:tr w:rsidR="00044A83" w:rsidRPr="00D05B1B" w:rsidTr="008725E2">
        <w:trPr>
          <w:cantSplit/>
          <w:jc w:val="center"/>
        </w:trPr>
        <w:tc>
          <w:tcPr>
            <w:tcW w:w="3549" w:type="pct"/>
          </w:tcPr>
          <w:p w:rsidR="00044A83" w:rsidRPr="00D05B1B" w:rsidRDefault="00044A83" w:rsidP="006F2BFB">
            <w:pPr>
              <w:rPr>
                <w:sz w:val="22"/>
                <w:szCs w:val="22"/>
              </w:rPr>
            </w:pPr>
            <w:r w:rsidRPr="00D05B1B">
              <w:rPr>
                <w:sz w:val="22"/>
                <w:szCs w:val="22"/>
                <w:lang w:val="en-US"/>
              </w:rPr>
              <w:t xml:space="preserve">III. </w:t>
            </w:r>
            <w:r w:rsidRPr="00D05B1B">
              <w:rPr>
                <w:sz w:val="22"/>
                <w:szCs w:val="22"/>
              </w:rPr>
              <w:t>Патогенез антифосфолипидного синдрома</w:t>
            </w:r>
          </w:p>
        </w:tc>
      </w:tr>
      <w:tr w:rsidR="00044A83" w:rsidRPr="00D05B1B" w:rsidTr="008725E2">
        <w:trPr>
          <w:cantSplit/>
          <w:jc w:val="center"/>
        </w:trPr>
        <w:tc>
          <w:tcPr>
            <w:tcW w:w="3549" w:type="pct"/>
          </w:tcPr>
          <w:p w:rsidR="00044A83" w:rsidRPr="00D05B1B" w:rsidRDefault="00044A83" w:rsidP="006F2BFB">
            <w:pPr>
              <w:rPr>
                <w:sz w:val="22"/>
                <w:szCs w:val="22"/>
              </w:rPr>
            </w:pPr>
            <w:r w:rsidRPr="00D05B1B">
              <w:rPr>
                <w:sz w:val="22"/>
                <w:szCs w:val="22"/>
                <w:lang w:val="en-US"/>
              </w:rPr>
              <w:t>IV</w:t>
            </w:r>
            <w:r w:rsidRPr="00D05B1B">
              <w:rPr>
                <w:sz w:val="22"/>
                <w:szCs w:val="22"/>
              </w:rPr>
              <w:t>. Диагностика антифосфолипидного синдрома</w:t>
            </w:r>
          </w:p>
        </w:tc>
      </w:tr>
      <w:tr w:rsidR="00044A83" w:rsidRPr="00D05B1B" w:rsidTr="008725E2">
        <w:trPr>
          <w:cantSplit/>
          <w:jc w:val="center"/>
        </w:trPr>
        <w:tc>
          <w:tcPr>
            <w:tcW w:w="3549" w:type="pct"/>
          </w:tcPr>
          <w:p w:rsidR="00044A83" w:rsidRPr="00D05B1B" w:rsidRDefault="00044A83" w:rsidP="006F2BFB">
            <w:pPr>
              <w:rPr>
                <w:sz w:val="22"/>
                <w:szCs w:val="22"/>
              </w:rPr>
            </w:pPr>
            <w:r w:rsidRPr="00D05B1B">
              <w:rPr>
                <w:sz w:val="22"/>
                <w:szCs w:val="22"/>
                <w:lang w:val="en-US"/>
              </w:rPr>
              <w:t>V</w:t>
            </w:r>
            <w:r w:rsidRPr="00D05B1B">
              <w:rPr>
                <w:sz w:val="22"/>
                <w:szCs w:val="22"/>
              </w:rPr>
              <w:t>. Клиническте проявления антифосфолипидного синдрома</w:t>
            </w:r>
          </w:p>
        </w:tc>
      </w:tr>
      <w:tr w:rsidR="00044A83" w:rsidRPr="00D05B1B" w:rsidTr="008725E2">
        <w:trPr>
          <w:cantSplit/>
          <w:jc w:val="center"/>
        </w:trPr>
        <w:tc>
          <w:tcPr>
            <w:tcW w:w="3549" w:type="pct"/>
          </w:tcPr>
          <w:p w:rsidR="00044A83" w:rsidRPr="00D05B1B" w:rsidRDefault="00044A83" w:rsidP="006F2BFB">
            <w:pPr>
              <w:rPr>
                <w:sz w:val="22"/>
                <w:szCs w:val="22"/>
              </w:rPr>
            </w:pPr>
            <w:r w:rsidRPr="00D05B1B">
              <w:rPr>
                <w:sz w:val="22"/>
                <w:szCs w:val="22"/>
                <w:lang w:val="en-US"/>
              </w:rPr>
              <w:t>VI</w:t>
            </w:r>
            <w:r w:rsidRPr="00D05B1B">
              <w:rPr>
                <w:sz w:val="22"/>
                <w:szCs w:val="22"/>
              </w:rPr>
              <w:t>. Основные принципы лечения антифосфолипидного синдрома</w:t>
            </w:r>
          </w:p>
        </w:tc>
      </w:tr>
      <w:tr w:rsidR="00044A83" w:rsidRPr="00D05B1B" w:rsidTr="008725E2">
        <w:trPr>
          <w:cantSplit/>
          <w:jc w:val="center"/>
        </w:trPr>
        <w:tc>
          <w:tcPr>
            <w:tcW w:w="3549" w:type="pct"/>
          </w:tcPr>
          <w:p w:rsidR="00044A83" w:rsidRPr="00D05B1B" w:rsidRDefault="00044A83" w:rsidP="006F2BFB">
            <w:pPr>
              <w:rPr>
                <w:sz w:val="22"/>
                <w:szCs w:val="22"/>
              </w:rPr>
            </w:pPr>
            <w:r w:rsidRPr="00D05B1B">
              <w:rPr>
                <w:sz w:val="22"/>
                <w:szCs w:val="22"/>
                <w:lang w:val="en-US"/>
              </w:rPr>
              <w:t>VII</w:t>
            </w:r>
            <w:r w:rsidRPr="00D05B1B">
              <w:rPr>
                <w:sz w:val="22"/>
                <w:szCs w:val="22"/>
              </w:rPr>
              <w:t>. Вопросы профилактики, диспансеризации пациентов с антифосфолипидным синдромом</w:t>
            </w:r>
          </w:p>
        </w:tc>
      </w:tr>
    </w:tbl>
    <w:p w:rsidR="00044A83" w:rsidRPr="00D05B1B" w:rsidRDefault="00044A83" w:rsidP="008725E2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044A83" w:rsidRPr="00D05B1B" w:rsidRDefault="00044A83" w:rsidP="00D05B1B">
      <w:pPr>
        <w:tabs>
          <w:tab w:val="left" w:pos="3735"/>
        </w:tabs>
        <w:jc w:val="both"/>
        <w:rPr>
          <w:sz w:val="22"/>
          <w:szCs w:val="22"/>
        </w:rPr>
      </w:pPr>
      <w:r w:rsidRPr="00D05B1B">
        <w:rPr>
          <w:sz w:val="22"/>
          <w:szCs w:val="22"/>
        </w:rPr>
        <w:t xml:space="preserve"> </w:t>
      </w:r>
      <w:r w:rsidRPr="00D05B1B">
        <w:rPr>
          <w:b/>
          <w:sz w:val="22"/>
          <w:szCs w:val="22"/>
        </w:rPr>
        <w:t xml:space="preserve">План лекции. </w:t>
      </w: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044A83" w:rsidRPr="00D05B1B" w:rsidTr="006F2BFB">
        <w:trPr>
          <w:cantSplit/>
          <w:jc w:val="center"/>
        </w:trPr>
        <w:tc>
          <w:tcPr>
            <w:tcW w:w="5000" w:type="pct"/>
          </w:tcPr>
          <w:p w:rsidR="00044A83" w:rsidRPr="00D05B1B" w:rsidRDefault="00044A83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D05B1B">
                <w:rPr>
                  <w:sz w:val="22"/>
                  <w:szCs w:val="22"/>
                  <w:lang w:val="en-US"/>
                </w:rPr>
                <w:t>I</w:t>
              </w:r>
              <w:r w:rsidRPr="00D05B1B">
                <w:rPr>
                  <w:sz w:val="22"/>
                  <w:szCs w:val="22"/>
                </w:rPr>
                <w:t>.</w:t>
              </w:r>
            </w:smartTag>
            <w:r w:rsidRPr="00D05B1B">
              <w:rPr>
                <w:sz w:val="22"/>
                <w:szCs w:val="22"/>
              </w:rPr>
              <w:t xml:space="preserve"> Классификация антифосфолипидного синдрома</w:t>
            </w:r>
          </w:p>
        </w:tc>
      </w:tr>
      <w:tr w:rsidR="00044A83" w:rsidRPr="00D05B1B" w:rsidTr="006F2BFB">
        <w:trPr>
          <w:cantSplit/>
          <w:trHeight w:val="244"/>
          <w:jc w:val="center"/>
        </w:trPr>
        <w:tc>
          <w:tcPr>
            <w:tcW w:w="5000" w:type="pct"/>
          </w:tcPr>
          <w:p w:rsidR="00044A83" w:rsidRPr="00D05B1B" w:rsidRDefault="00044A83" w:rsidP="006F2BFB">
            <w:pPr>
              <w:rPr>
                <w:sz w:val="22"/>
                <w:szCs w:val="22"/>
              </w:rPr>
            </w:pPr>
            <w:r w:rsidRPr="00D05B1B">
              <w:rPr>
                <w:sz w:val="22"/>
                <w:szCs w:val="22"/>
                <w:lang w:val="en-US"/>
              </w:rPr>
              <w:t>II</w:t>
            </w:r>
            <w:r w:rsidRPr="00D05B1B">
              <w:rPr>
                <w:sz w:val="22"/>
                <w:szCs w:val="22"/>
              </w:rPr>
              <w:t>. Этиология, эпидемиология антифосфолипидного синдрома</w:t>
            </w:r>
          </w:p>
        </w:tc>
      </w:tr>
      <w:tr w:rsidR="00044A83" w:rsidRPr="00D05B1B" w:rsidTr="006F2BFB">
        <w:trPr>
          <w:cantSplit/>
          <w:trHeight w:val="244"/>
          <w:jc w:val="center"/>
        </w:trPr>
        <w:tc>
          <w:tcPr>
            <w:tcW w:w="5000" w:type="pct"/>
          </w:tcPr>
          <w:p w:rsidR="00044A83" w:rsidRPr="00D05B1B" w:rsidRDefault="00044A83" w:rsidP="006F2BFB">
            <w:pPr>
              <w:rPr>
                <w:sz w:val="22"/>
                <w:szCs w:val="22"/>
              </w:rPr>
            </w:pPr>
            <w:r w:rsidRPr="00D05B1B">
              <w:rPr>
                <w:sz w:val="22"/>
                <w:szCs w:val="22"/>
                <w:lang w:val="en-US"/>
              </w:rPr>
              <w:t xml:space="preserve">III. </w:t>
            </w:r>
            <w:r w:rsidRPr="00D05B1B">
              <w:rPr>
                <w:sz w:val="22"/>
                <w:szCs w:val="22"/>
              </w:rPr>
              <w:t>Патогенез антифосфолипидного синдрома</w:t>
            </w:r>
          </w:p>
        </w:tc>
      </w:tr>
      <w:tr w:rsidR="00044A83" w:rsidRPr="00D05B1B" w:rsidTr="006F2BFB">
        <w:trPr>
          <w:cantSplit/>
          <w:trHeight w:val="244"/>
          <w:jc w:val="center"/>
        </w:trPr>
        <w:tc>
          <w:tcPr>
            <w:tcW w:w="5000" w:type="pct"/>
          </w:tcPr>
          <w:p w:rsidR="00044A83" w:rsidRPr="00D05B1B" w:rsidRDefault="00044A83" w:rsidP="006F2BFB">
            <w:pPr>
              <w:rPr>
                <w:sz w:val="22"/>
                <w:szCs w:val="22"/>
              </w:rPr>
            </w:pPr>
            <w:r w:rsidRPr="00D05B1B">
              <w:rPr>
                <w:sz w:val="22"/>
                <w:szCs w:val="22"/>
                <w:lang w:val="en-US"/>
              </w:rPr>
              <w:t>IV</w:t>
            </w:r>
            <w:r w:rsidRPr="00D05B1B">
              <w:rPr>
                <w:sz w:val="22"/>
                <w:szCs w:val="22"/>
              </w:rPr>
              <w:t>. Диагностика антифосфолипидного синдрома</w:t>
            </w:r>
          </w:p>
        </w:tc>
      </w:tr>
      <w:tr w:rsidR="00044A83" w:rsidRPr="00D05B1B" w:rsidTr="006F2BFB">
        <w:trPr>
          <w:cantSplit/>
          <w:trHeight w:val="244"/>
          <w:jc w:val="center"/>
        </w:trPr>
        <w:tc>
          <w:tcPr>
            <w:tcW w:w="5000" w:type="pct"/>
          </w:tcPr>
          <w:p w:rsidR="00044A83" w:rsidRPr="00D05B1B" w:rsidRDefault="00044A83" w:rsidP="006F2BFB">
            <w:pPr>
              <w:rPr>
                <w:sz w:val="22"/>
                <w:szCs w:val="22"/>
              </w:rPr>
            </w:pPr>
            <w:r w:rsidRPr="00D05B1B">
              <w:rPr>
                <w:sz w:val="22"/>
                <w:szCs w:val="22"/>
                <w:lang w:val="en-US"/>
              </w:rPr>
              <w:t>V</w:t>
            </w:r>
            <w:r w:rsidRPr="00D05B1B">
              <w:rPr>
                <w:sz w:val="22"/>
                <w:szCs w:val="22"/>
              </w:rPr>
              <w:t>. Клиническте проявления антифосфолипидного синдрома</w:t>
            </w:r>
          </w:p>
        </w:tc>
      </w:tr>
      <w:tr w:rsidR="00044A83" w:rsidRPr="00D05B1B" w:rsidTr="006F2BFB">
        <w:trPr>
          <w:cantSplit/>
          <w:trHeight w:val="244"/>
          <w:jc w:val="center"/>
        </w:trPr>
        <w:tc>
          <w:tcPr>
            <w:tcW w:w="5000" w:type="pct"/>
          </w:tcPr>
          <w:p w:rsidR="00044A83" w:rsidRPr="00D05B1B" w:rsidRDefault="00044A83" w:rsidP="006F2BFB">
            <w:pPr>
              <w:rPr>
                <w:sz w:val="22"/>
                <w:szCs w:val="22"/>
              </w:rPr>
            </w:pPr>
            <w:r w:rsidRPr="00D05B1B">
              <w:rPr>
                <w:sz w:val="22"/>
                <w:szCs w:val="22"/>
                <w:lang w:val="en-US"/>
              </w:rPr>
              <w:t>VI</w:t>
            </w:r>
            <w:r w:rsidRPr="00D05B1B">
              <w:rPr>
                <w:sz w:val="22"/>
                <w:szCs w:val="22"/>
              </w:rPr>
              <w:t>. Основные принципы лечения антифосфолипидного синдрома</w:t>
            </w:r>
          </w:p>
        </w:tc>
      </w:tr>
      <w:tr w:rsidR="00044A83" w:rsidRPr="00D05B1B" w:rsidTr="006F2BFB">
        <w:trPr>
          <w:cantSplit/>
          <w:trHeight w:val="244"/>
          <w:jc w:val="center"/>
        </w:trPr>
        <w:tc>
          <w:tcPr>
            <w:tcW w:w="5000" w:type="pct"/>
          </w:tcPr>
          <w:p w:rsidR="00044A83" w:rsidRPr="00D05B1B" w:rsidRDefault="00044A83" w:rsidP="006F2BFB">
            <w:pPr>
              <w:rPr>
                <w:sz w:val="22"/>
                <w:szCs w:val="22"/>
              </w:rPr>
            </w:pPr>
            <w:r w:rsidRPr="00D05B1B">
              <w:rPr>
                <w:sz w:val="22"/>
                <w:szCs w:val="22"/>
                <w:lang w:val="en-US"/>
              </w:rPr>
              <w:t>VII</w:t>
            </w:r>
            <w:r w:rsidRPr="00D05B1B">
              <w:rPr>
                <w:sz w:val="22"/>
                <w:szCs w:val="22"/>
              </w:rPr>
              <w:t>. Вопросы профилактики, диспансеризации пациентов с антифосфолипидным синдромом</w:t>
            </w:r>
          </w:p>
        </w:tc>
      </w:tr>
    </w:tbl>
    <w:p w:rsidR="00044A83" w:rsidRPr="00D05B1B" w:rsidRDefault="00044A83" w:rsidP="008725E2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044A83" w:rsidRPr="00D05B1B" w:rsidRDefault="00044A83" w:rsidP="008725E2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D05B1B">
        <w:rPr>
          <w:b/>
          <w:sz w:val="22"/>
          <w:szCs w:val="22"/>
        </w:rPr>
        <w:t xml:space="preserve">Иллюстративный материал и оснащение: </w:t>
      </w:r>
      <w:r w:rsidRPr="00D05B1B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044A83" w:rsidRPr="00D05B1B" w:rsidRDefault="00044A83" w:rsidP="008725E2">
      <w:pPr>
        <w:rPr>
          <w:b/>
          <w:sz w:val="22"/>
          <w:szCs w:val="22"/>
        </w:rPr>
      </w:pPr>
    </w:p>
    <w:p w:rsidR="00044A83" w:rsidRPr="00D05B1B" w:rsidRDefault="00044A83" w:rsidP="008725E2">
      <w:pPr>
        <w:rPr>
          <w:sz w:val="22"/>
          <w:szCs w:val="22"/>
        </w:rPr>
      </w:pPr>
      <w:r w:rsidRPr="00D05B1B">
        <w:rPr>
          <w:b/>
          <w:sz w:val="22"/>
          <w:szCs w:val="22"/>
        </w:rPr>
        <w:t>Тестовый контроль</w:t>
      </w:r>
      <w:r w:rsidRPr="00D05B1B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D05B1B">
        <w:rPr>
          <w:bCs/>
          <w:sz w:val="22"/>
          <w:szCs w:val="22"/>
        </w:rPr>
        <w:t>Антифосфолипидный синдром</w:t>
      </w:r>
      <w:r w:rsidRPr="00D05B1B">
        <w:rPr>
          <w:sz w:val="22"/>
          <w:szCs w:val="22"/>
        </w:rPr>
        <w:t>».</w:t>
      </w:r>
    </w:p>
    <w:p w:rsidR="00044A83" w:rsidRPr="00D05B1B" w:rsidRDefault="00044A83" w:rsidP="008725E2">
      <w:pPr>
        <w:jc w:val="both"/>
        <w:rPr>
          <w:sz w:val="22"/>
          <w:szCs w:val="22"/>
        </w:rPr>
      </w:pPr>
    </w:p>
    <w:p w:rsidR="00044A83" w:rsidRPr="00D05B1B" w:rsidRDefault="00044A83" w:rsidP="008725E2">
      <w:pPr>
        <w:jc w:val="both"/>
        <w:rPr>
          <w:b/>
          <w:sz w:val="22"/>
          <w:szCs w:val="22"/>
        </w:rPr>
      </w:pPr>
      <w:r w:rsidRPr="00D05B1B">
        <w:rPr>
          <w:b/>
          <w:sz w:val="22"/>
          <w:szCs w:val="22"/>
        </w:rPr>
        <w:t>Литература по теме лекции.</w:t>
      </w:r>
    </w:p>
    <w:p w:rsidR="00044A83" w:rsidRPr="00D05B1B" w:rsidRDefault="00044A83" w:rsidP="008725E2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044A83" w:rsidRPr="00D05B1B" w:rsidRDefault="00044A83" w:rsidP="008725E2">
      <w:pPr>
        <w:rPr>
          <w:b/>
          <w:bCs/>
          <w:color w:val="000000"/>
          <w:sz w:val="22"/>
          <w:szCs w:val="22"/>
        </w:rPr>
      </w:pPr>
      <w:r w:rsidRPr="00D05B1B">
        <w:rPr>
          <w:b/>
          <w:bCs/>
          <w:color w:val="000000"/>
          <w:sz w:val="22"/>
          <w:szCs w:val="22"/>
        </w:rPr>
        <w:t>Основная литература</w:t>
      </w:r>
    </w:p>
    <w:p w:rsidR="00044A83" w:rsidRPr="00D05B1B" w:rsidRDefault="00044A83" w:rsidP="008725E2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05B1B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044A83" w:rsidRPr="00D05B1B" w:rsidRDefault="00044A83" w:rsidP="008725E2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05B1B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044A83" w:rsidRPr="00D05B1B" w:rsidRDefault="00044A83" w:rsidP="008725E2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05B1B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044A83" w:rsidRPr="00D05B1B" w:rsidRDefault="00044A83" w:rsidP="008725E2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05B1B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044A83" w:rsidRDefault="00044A83" w:rsidP="00D05B1B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05B1B">
        <w:rPr>
          <w:rFonts w:ascii="Times New Roman" w:hAnsi="Times New Roman"/>
          <w:color w:val="000000"/>
        </w:rPr>
        <w:t>Синяченко, О.В. Диагностика и лечение болезней суставов: нау</w:t>
      </w:r>
      <w:r>
        <w:rPr>
          <w:rFonts w:ascii="Times New Roman" w:hAnsi="Times New Roman"/>
          <w:color w:val="000000"/>
        </w:rPr>
        <w:t xml:space="preserve">чное издание / О. В. Синяченко. - Донецк: ИД Заславский; СПб. : ЭЛБИ-СПб, 2012. - 559 с. </w:t>
      </w:r>
    </w:p>
    <w:p w:rsidR="00044A83" w:rsidRPr="00D05B1B" w:rsidRDefault="00044A83" w:rsidP="00D05B1B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05B1B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044A83" w:rsidRDefault="00044A83" w:rsidP="008725E2">
      <w:pPr>
        <w:pStyle w:val="1"/>
        <w:spacing w:after="0" w:line="100" w:lineRule="atLeast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044A83" w:rsidRDefault="00044A83" w:rsidP="008725E2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044A83" w:rsidRDefault="00044A83" w:rsidP="008725E2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044A83" w:rsidRDefault="00044A83" w:rsidP="008725E2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044A83" w:rsidRDefault="00044A83" w:rsidP="008725E2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044A83" w:rsidRDefault="00044A83" w:rsidP="008725E2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044A83" w:rsidRDefault="00044A83" w:rsidP="008725E2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044A83" w:rsidRDefault="00044A83" w:rsidP="008725E2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044A83" w:rsidRDefault="00044A83" w:rsidP="008725E2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044A83" w:rsidRDefault="00044A83" w:rsidP="008725E2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044A83" w:rsidRDefault="00044A83" w:rsidP="008725E2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044A83" w:rsidRDefault="00044A83" w:rsidP="008725E2">
      <w:pPr>
        <w:jc w:val="both"/>
        <w:rPr>
          <w:sz w:val="22"/>
          <w:szCs w:val="22"/>
        </w:rPr>
      </w:pPr>
    </w:p>
    <w:p w:rsidR="00044A83" w:rsidRDefault="00044A83"/>
    <w:sectPr w:rsidR="00044A83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5E2"/>
    <w:rsid w:val="00013AC2"/>
    <w:rsid w:val="00044A83"/>
    <w:rsid w:val="000B7776"/>
    <w:rsid w:val="002D3119"/>
    <w:rsid w:val="00375038"/>
    <w:rsid w:val="00615E6B"/>
    <w:rsid w:val="00641C40"/>
    <w:rsid w:val="00666208"/>
    <w:rsid w:val="006F2BFB"/>
    <w:rsid w:val="007B0339"/>
    <w:rsid w:val="00826B00"/>
    <w:rsid w:val="008725E2"/>
    <w:rsid w:val="00A801FE"/>
    <w:rsid w:val="00B20E59"/>
    <w:rsid w:val="00D05B1B"/>
    <w:rsid w:val="00DD0712"/>
    <w:rsid w:val="00E1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5E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8725E2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725E2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8725E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8725E2"/>
    <w:rPr>
      <w:b/>
    </w:rPr>
  </w:style>
  <w:style w:type="character" w:styleId="Hyperlink">
    <w:name w:val="Hyperlink"/>
    <w:basedOn w:val="DefaultParagraphFont"/>
    <w:uiPriority w:val="99"/>
    <w:rsid w:val="008725E2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8725E2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7B03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033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05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785</Words>
  <Characters>4479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5</cp:revision>
  <dcterms:created xsi:type="dcterms:W3CDTF">2018-01-05T17:03:00Z</dcterms:created>
  <dcterms:modified xsi:type="dcterms:W3CDTF">2018-11-04T07:49:00Z</dcterms:modified>
</cp:coreProperties>
</file>